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58A7" w14:textId="77777777" w:rsidR="00B26A4B" w:rsidRPr="0021553B" w:rsidRDefault="00B26A4B" w:rsidP="00B26A4B">
      <w:pPr>
        <w:pBdr>
          <w:bottom w:val="single" w:sz="12" w:space="1" w:color="auto"/>
        </w:pBdr>
        <w:rPr>
          <w:rFonts w:ascii="Garamond" w:hAnsi="Garamond"/>
          <w:color w:val="1F497D" w:themeColor="text2"/>
        </w:rPr>
      </w:pPr>
      <w:r w:rsidRPr="0021553B">
        <w:rPr>
          <w:rFonts w:ascii="Garamond" w:hAnsi="Garamond"/>
          <w:color w:val="1F497D" w:themeColor="text2"/>
        </w:rPr>
        <w:t>KARTA TECHNICZNA</w:t>
      </w:r>
    </w:p>
    <w:p w14:paraId="75BD0D08" w14:textId="77777777" w:rsidR="00B26A4B" w:rsidRPr="000C19A3" w:rsidRDefault="00B26A4B" w:rsidP="00B26A4B"/>
    <w:tbl>
      <w:tblPr>
        <w:tblStyle w:val="Tabela-Siatka"/>
        <w:tblpPr w:leftFromText="141" w:rightFromText="141" w:vertAnchor="page" w:horzAnchor="margin" w:tblpY="384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03"/>
        <w:gridCol w:w="2293"/>
        <w:gridCol w:w="4635"/>
      </w:tblGrid>
      <w:tr w:rsidR="00BC5E32" w:rsidRPr="00BC5E32" w14:paraId="6BDAEA8C" w14:textId="77777777" w:rsidTr="00905A10">
        <w:trPr>
          <w:trHeight w:val="699"/>
        </w:trPr>
        <w:tc>
          <w:tcPr>
            <w:tcW w:w="9231" w:type="dxa"/>
            <w:gridSpan w:val="3"/>
            <w:vAlign w:val="center"/>
          </w:tcPr>
          <w:p w14:paraId="70A9E151" w14:textId="77777777" w:rsidR="002147B0" w:rsidRPr="00BC5E32" w:rsidRDefault="002147B0" w:rsidP="00BC5E32">
            <w:pPr>
              <w:spacing w:line="360" w:lineRule="auto"/>
              <w:rPr>
                <w:b/>
                <w:color w:val="17365D" w:themeColor="text2" w:themeShade="BF"/>
              </w:rPr>
            </w:pPr>
          </w:p>
          <w:p w14:paraId="4035D28B" w14:textId="77777777" w:rsidR="0042335B" w:rsidRPr="00BC5E32" w:rsidRDefault="007F4853" w:rsidP="00BC5E32">
            <w:pPr>
              <w:spacing w:line="360" w:lineRule="auto"/>
              <w:jc w:val="right"/>
              <w:rPr>
                <w:b/>
                <w:color w:val="17365D" w:themeColor="text2" w:themeShade="BF"/>
              </w:rPr>
            </w:pPr>
            <w:r w:rsidRPr="00BC5E32">
              <w:rPr>
                <w:rFonts w:ascii="Garamond" w:hAnsi="Garamond"/>
                <w:b/>
                <w:color w:val="17365D" w:themeColor="text2" w:themeShade="BF"/>
              </w:rPr>
              <w:t>ROKO PROFESSIONAL KREMOWE MYDŁO MLEKO I MIÓD</w:t>
            </w:r>
          </w:p>
        </w:tc>
      </w:tr>
      <w:tr w:rsidR="00BC5E32" w:rsidRPr="00BC5E32" w14:paraId="3793D805" w14:textId="77777777" w:rsidTr="0042335B">
        <w:trPr>
          <w:trHeight w:val="2350"/>
        </w:trPr>
        <w:tc>
          <w:tcPr>
            <w:tcW w:w="4596" w:type="dxa"/>
            <w:gridSpan w:val="2"/>
          </w:tcPr>
          <w:p w14:paraId="4864E4B6" w14:textId="77777777" w:rsidR="007F4853" w:rsidRPr="00BC5E32" w:rsidRDefault="007F4853" w:rsidP="00BC5E32">
            <w:pPr>
              <w:spacing w:before="200" w:line="360" w:lineRule="auto"/>
              <w:contextualSpacing/>
              <w:jc w:val="both"/>
              <w:rPr>
                <w:rFonts w:ascii="Garamond" w:eastAsia="Times New Roman" w:hAnsi="Garamond"/>
                <w:b/>
                <w:bCs/>
                <w:color w:val="17365D" w:themeColor="text2" w:themeShade="BF"/>
                <w:u w:val="single"/>
              </w:rPr>
            </w:pPr>
            <w:r w:rsidRPr="00BC5E32">
              <w:rPr>
                <w:rFonts w:ascii="Garamond" w:eastAsia="Times New Roman" w:hAnsi="Garamond"/>
                <w:b/>
                <w:bCs/>
                <w:color w:val="17365D" w:themeColor="text2" w:themeShade="BF"/>
                <w:u w:val="single"/>
              </w:rPr>
              <w:t>Zakres stosowania:</w:t>
            </w:r>
          </w:p>
          <w:p w14:paraId="61A6EAAA" w14:textId="77777777" w:rsidR="007F4853" w:rsidRPr="00BC5E32" w:rsidRDefault="007F4853" w:rsidP="00BC5E32">
            <w:pPr>
              <w:spacing w:line="360" w:lineRule="auto"/>
              <w:jc w:val="both"/>
              <w:rPr>
                <w:rFonts w:ascii="Garamond" w:hAnsi="Garamond"/>
                <w:color w:val="17365D" w:themeColor="text2" w:themeShade="BF"/>
              </w:rPr>
            </w:pPr>
            <w:r w:rsidRPr="00BC5E32">
              <w:rPr>
                <w:rFonts w:ascii="Garamond" w:hAnsi="Garamond"/>
                <w:color w:val="17365D" w:themeColor="text2" w:themeShade="BF"/>
              </w:rPr>
              <w:t>Mydło płynne kremowe przeznaczone do mycia rąk i ciała o delikatnym zapachu mleka i miodu. Łagodne dla skóry. Bardzo wysoka zawartość surfaktantów oraz dodatków uszlachetniających sprosta oczekiwaniom najbardziej wymagających Klientów.</w:t>
            </w:r>
          </w:p>
        </w:tc>
        <w:tc>
          <w:tcPr>
            <w:tcW w:w="4635" w:type="dxa"/>
          </w:tcPr>
          <w:p w14:paraId="5B855FB6" w14:textId="77777777" w:rsidR="007F4853" w:rsidRPr="00BC5E32" w:rsidRDefault="007F4853" w:rsidP="00BC5E32">
            <w:pPr>
              <w:spacing w:before="200" w:line="360" w:lineRule="auto"/>
              <w:contextualSpacing/>
              <w:jc w:val="both"/>
              <w:rPr>
                <w:rFonts w:ascii="Garamond" w:eastAsia="Times New Roman" w:hAnsi="Garamond"/>
                <w:b/>
                <w:bCs/>
                <w:color w:val="17365D" w:themeColor="text2" w:themeShade="BF"/>
                <w:u w:val="single"/>
              </w:rPr>
            </w:pPr>
            <w:r w:rsidRPr="00BC5E32">
              <w:rPr>
                <w:rFonts w:ascii="Garamond" w:eastAsia="Times New Roman" w:hAnsi="Garamond"/>
                <w:b/>
                <w:bCs/>
                <w:color w:val="17365D" w:themeColor="text2" w:themeShade="BF"/>
                <w:u w:val="single"/>
              </w:rPr>
              <w:t>Właściwości produktu:</w:t>
            </w:r>
          </w:p>
          <w:p w14:paraId="26B5AECC" w14:textId="77777777" w:rsidR="007F4853" w:rsidRPr="00BC5E32" w:rsidRDefault="007F4853" w:rsidP="00BC5E32">
            <w:pPr>
              <w:pStyle w:val="Akapitzlist"/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line="360" w:lineRule="auto"/>
              <w:jc w:val="both"/>
              <w:rPr>
                <w:rFonts w:ascii="Garamond" w:hAnsi="Garamond"/>
                <w:color w:val="17365D" w:themeColor="text2" w:themeShade="BF"/>
              </w:rPr>
            </w:pPr>
            <w:r w:rsidRPr="00BC5E32">
              <w:rPr>
                <w:rFonts w:ascii="Garamond" w:hAnsi="Garamond"/>
                <w:color w:val="17365D" w:themeColor="text2" w:themeShade="BF"/>
              </w:rPr>
              <w:t>Zawiera wyciąg z aloesu, który łagodzi podrażnienia</w:t>
            </w:r>
          </w:p>
          <w:p w14:paraId="22FF8E3F" w14:textId="77777777" w:rsidR="007F4853" w:rsidRPr="00BC5E32" w:rsidRDefault="007F4853" w:rsidP="00BC5E32">
            <w:pPr>
              <w:pStyle w:val="Akapitzlist"/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line="360" w:lineRule="auto"/>
              <w:jc w:val="both"/>
              <w:rPr>
                <w:rFonts w:ascii="Garamond" w:hAnsi="Garamond"/>
                <w:color w:val="17365D" w:themeColor="text2" w:themeShade="BF"/>
              </w:rPr>
            </w:pPr>
            <w:r w:rsidRPr="00BC5E32">
              <w:rPr>
                <w:rFonts w:ascii="Garamond" w:hAnsi="Garamond"/>
                <w:color w:val="17365D" w:themeColor="text2" w:themeShade="BF"/>
              </w:rPr>
              <w:t xml:space="preserve">Zawiera glicerynę, która wnikając w naskórek zatrzymuje wodę w głębszych jego </w:t>
            </w:r>
            <w:proofErr w:type="spellStart"/>
            <w:r w:rsidRPr="00BC5E32">
              <w:rPr>
                <w:rFonts w:ascii="Garamond" w:hAnsi="Garamond"/>
                <w:color w:val="17365D" w:themeColor="text2" w:themeShade="BF"/>
              </w:rPr>
              <w:t>partiach,wygładza</w:t>
            </w:r>
            <w:proofErr w:type="spellEnd"/>
            <w:r w:rsidRPr="00BC5E32">
              <w:rPr>
                <w:rFonts w:ascii="Garamond" w:hAnsi="Garamond"/>
                <w:color w:val="17365D" w:themeColor="text2" w:themeShade="BF"/>
              </w:rPr>
              <w:t xml:space="preserve"> skórę</w:t>
            </w:r>
          </w:p>
          <w:p w14:paraId="4100BAF6" w14:textId="77777777" w:rsidR="00BC5E32" w:rsidRPr="00BC5E32" w:rsidRDefault="00BC5E32" w:rsidP="00BC5E32">
            <w:pPr>
              <w:pStyle w:val="Akapitzlist"/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line="360" w:lineRule="auto"/>
              <w:jc w:val="both"/>
              <w:rPr>
                <w:rFonts w:ascii="Garamond" w:hAnsi="Garamond"/>
                <w:color w:val="17365D" w:themeColor="text2" w:themeShade="BF"/>
              </w:rPr>
            </w:pPr>
            <w:proofErr w:type="spellStart"/>
            <w:r w:rsidRPr="00BC5E32">
              <w:rPr>
                <w:rFonts w:ascii="Garamond" w:hAnsi="Garamond"/>
                <w:color w:val="17365D" w:themeColor="text2" w:themeShade="BF"/>
              </w:rPr>
              <w:t>Zawioera</w:t>
            </w:r>
            <w:proofErr w:type="spellEnd"/>
            <w:r w:rsidRPr="00BC5E32">
              <w:rPr>
                <w:rFonts w:ascii="Garamond" w:hAnsi="Garamond"/>
                <w:color w:val="17365D" w:themeColor="text2" w:themeShade="BF"/>
              </w:rPr>
              <w:t xml:space="preserve"> lanolinę, która </w:t>
            </w:r>
            <w:r w:rsidR="007F4853" w:rsidRPr="00BC5E32">
              <w:rPr>
                <w:rFonts w:ascii="Garamond" w:hAnsi="Garamond"/>
                <w:color w:val="17365D" w:themeColor="text2" w:themeShade="BF"/>
              </w:rPr>
              <w:t>doskonale kond</w:t>
            </w:r>
            <w:r w:rsidRPr="00BC5E32">
              <w:rPr>
                <w:rFonts w:ascii="Garamond" w:hAnsi="Garamond"/>
                <w:color w:val="17365D" w:themeColor="text2" w:themeShade="BF"/>
              </w:rPr>
              <w:t>ycjonuje oraz natłuszcza skórę</w:t>
            </w:r>
            <w:r w:rsidR="007F4853" w:rsidRPr="00BC5E32">
              <w:rPr>
                <w:rFonts w:ascii="Garamond" w:hAnsi="Garamond"/>
                <w:color w:val="17365D" w:themeColor="text2" w:themeShade="BF"/>
              </w:rPr>
              <w:t xml:space="preserve"> </w:t>
            </w:r>
          </w:p>
          <w:p w14:paraId="5411526C" w14:textId="77777777" w:rsidR="007F4853" w:rsidRPr="00BC5E32" w:rsidRDefault="007F4853" w:rsidP="00BC5E32">
            <w:pPr>
              <w:pStyle w:val="Akapitzlist"/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line="360" w:lineRule="auto"/>
              <w:jc w:val="both"/>
              <w:rPr>
                <w:rFonts w:ascii="Garamond" w:hAnsi="Garamond"/>
                <w:color w:val="17365D" w:themeColor="text2" w:themeShade="BF"/>
              </w:rPr>
            </w:pPr>
            <w:r w:rsidRPr="00BC5E32">
              <w:rPr>
                <w:rFonts w:ascii="Garamond" w:hAnsi="Garamond"/>
                <w:color w:val="17365D" w:themeColor="text2" w:themeShade="BF"/>
              </w:rPr>
              <w:t xml:space="preserve">Posiada </w:t>
            </w:r>
            <w:proofErr w:type="spellStart"/>
            <w:r w:rsidRPr="00BC5E32">
              <w:rPr>
                <w:rFonts w:ascii="Garamond" w:hAnsi="Garamond"/>
                <w:color w:val="17365D" w:themeColor="text2" w:themeShade="BF"/>
              </w:rPr>
              <w:t>pH</w:t>
            </w:r>
            <w:proofErr w:type="spellEnd"/>
            <w:r w:rsidRPr="00BC5E32">
              <w:rPr>
                <w:rFonts w:ascii="Garamond" w:hAnsi="Garamond"/>
                <w:color w:val="17365D" w:themeColor="text2" w:themeShade="BF"/>
              </w:rPr>
              <w:t xml:space="preserve"> neutralne dla skóry.</w:t>
            </w:r>
          </w:p>
        </w:tc>
      </w:tr>
      <w:tr w:rsidR="00BC5E32" w:rsidRPr="00BC5E32" w14:paraId="547F916B" w14:textId="77777777" w:rsidTr="0042335B">
        <w:trPr>
          <w:trHeight w:val="290"/>
        </w:trPr>
        <w:tc>
          <w:tcPr>
            <w:tcW w:w="4596" w:type="dxa"/>
            <w:gridSpan w:val="2"/>
          </w:tcPr>
          <w:p w14:paraId="3DD3090A" w14:textId="77777777" w:rsidR="0042335B" w:rsidRPr="00BC5E32" w:rsidRDefault="0042335B" w:rsidP="00BC5E32">
            <w:pPr>
              <w:spacing w:line="360" w:lineRule="auto"/>
              <w:rPr>
                <w:rFonts w:ascii="Garamond" w:hAnsi="Garamond"/>
                <w:b/>
                <w:color w:val="17365D" w:themeColor="text2" w:themeShade="BF"/>
                <w:u w:val="single"/>
              </w:rPr>
            </w:pPr>
            <w:r w:rsidRPr="00BC5E32">
              <w:rPr>
                <w:rFonts w:ascii="Garamond" w:hAnsi="Garamond"/>
                <w:b/>
                <w:color w:val="17365D" w:themeColor="text2" w:themeShade="BF"/>
                <w:u w:val="single"/>
              </w:rPr>
              <w:t>Dane techniczne:</w:t>
            </w:r>
          </w:p>
        </w:tc>
        <w:tc>
          <w:tcPr>
            <w:tcW w:w="4635" w:type="dxa"/>
            <w:vMerge w:val="restart"/>
            <w:vAlign w:val="center"/>
          </w:tcPr>
          <w:p w14:paraId="640E9A93" w14:textId="77777777" w:rsidR="00573B43" w:rsidRDefault="00573B43" w:rsidP="00BC5E32">
            <w:pPr>
              <w:spacing w:line="360" w:lineRule="auto"/>
              <w:jc w:val="center"/>
              <w:rPr>
                <w:noProof/>
                <w:color w:val="17365D" w:themeColor="text2" w:themeShade="BF"/>
              </w:rPr>
            </w:pPr>
          </w:p>
          <w:p w14:paraId="1F4CE05B" w14:textId="77777777" w:rsidR="0042335B" w:rsidRPr="00BC5E32" w:rsidRDefault="00573B43" w:rsidP="00573B43">
            <w:pPr>
              <w:spacing w:line="360" w:lineRule="auto"/>
              <w:jc w:val="center"/>
              <w:rPr>
                <w:noProof/>
                <w:color w:val="17365D" w:themeColor="text2" w:themeShade="BF"/>
              </w:rPr>
            </w:pPr>
            <w:r>
              <w:rPr>
                <w:noProof/>
              </w:rPr>
              <w:drawing>
                <wp:inline distT="0" distB="0" distL="0" distR="0" wp14:anchorId="0AB7BE63" wp14:editId="460F980F">
                  <wp:extent cx="1304925" cy="2096953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453" cy="212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7CC90" w14:textId="77777777" w:rsidR="0042335B" w:rsidRPr="00BC5E32" w:rsidRDefault="0042335B" w:rsidP="00BC5E32">
            <w:pPr>
              <w:spacing w:line="360" w:lineRule="auto"/>
              <w:jc w:val="center"/>
              <w:rPr>
                <w:color w:val="17365D" w:themeColor="text2" w:themeShade="BF"/>
              </w:rPr>
            </w:pPr>
          </w:p>
        </w:tc>
      </w:tr>
      <w:tr w:rsidR="00BC5E32" w:rsidRPr="00BC5E32" w14:paraId="705B6467" w14:textId="77777777" w:rsidTr="0042335B">
        <w:tc>
          <w:tcPr>
            <w:tcW w:w="2303" w:type="dxa"/>
          </w:tcPr>
          <w:p w14:paraId="3CFA9F4C" w14:textId="77777777" w:rsidR="0042335B" w:rsidRPr="00BC5E32" w:rsidRDefault="0042335B" w:rsidP="00BC5E32">
            <w:pPr>
              <w:spacing w:before="200" w:line="360" w:lineRule="auto"/>
              <w:contextualSpacing/>
              <w:jc w:val="both"/>
              <w:rPr>
                <w:rFonts w:ascii="Garamond" w:eastAsia="Times New Roman" w:hAnsi="Garamond"/>
                <w:bCs/>
                <w:color w:val="17365D" w:themeColor="text2" w:themeShade="BF"/>
                <w:u w:val="single"/>
              </w:rPr>
            </w:pPr>
            <w:r w:rsidRPr="00BC5E32">
              <w:rPr>
                <w:rFonts w:ascii="Garamond" w:eastAsia="Times New Roman" w:hAnsi="Garamond"/>
                <w:bCs/>
                <w:color w:val="17365D" w:themeColor="text2" w:themeShade="BF"/>
              </w:rPr>
              <w:t xml:space="preserve">Wartość </w:t>
            </w:r>
            <w:proofErr w:type="spellStart"/>
            <w:r w:rsidRPr="00BC5E32">
              <w:rPr>
                <w:rFonts w:ascii="Garamond" w:eastAsia="Times New Roman" w:hAnsi="Garamond"/>
                <w:bCs/>
                <w:color w:val="17365D" w:themeColor="text2" w:themeShade="BF"/>
              </w:rPr>
              <w:t>pH</w:t>
            </w:r>
            <w:proofErr w:type="spellEnd"/>
          </w:p>
        </w:tc>
        <w:tc>
          <w:tcPr>
            <w:tcW w:w="2293" w:type="dxa"/>
          </w:tcPr>
          <w:p w14:paraId="75BDEFE3" w14:textId="77777777" w:rsidR="0042335B" w:rsidRPr="00BC5E32" w:rsidRDefault="0042335B" w:rsidP="00BC5E32">
            <w:pPr>
              <w:spacing w:before="200" w:line="360" w:lineRule="auto"/>
              <w:contextualSpacing/>
              <w:jc w:val="both"/>
              <w:rPr>
                <w:rFonts w:ascii="Garamond" w:eastAsia="Times New Roman" w:hAnsi="Garamond"/>
                <w:bCs/>
                <w:color w:val="17365D" w:themeColor="text2" w:themeShade="BF"/>
              </w:rPr>
            </w:pPr>
            <w:r w:rsidRPr="00BC5E32">
              <w:rPr>
                <w:rFonts w:ascii="Garamond" w:eastAsia="Times New Roman" w:hAnsi="Garamond"/>
                <w:bCs/>
                <w:color w:val="17365D" w:themeColor="text2" w:themeShade="BF"/>
              </w:rPr>
              <w:t>6,5</w:t>
            </w:r>
          </w:p>
        </w:tc>
        <w:tc>
          <w:tcPr>
            <w:tcW w:w="4635" w:type="dxa"/>
            <w:vMerge/>
          </w:tcPr>
          <w:p w14:paraId="12A8CA09" w14:textId="77777777" w:rsidR="0042335B" w:rsidRPr="00BC5E32" w:rsidRDefault="0042335B" w:rsidP="00BC5E32">
            <w:pPr>
              <w:pStyle w:val="Akapitzlist"/>
              <w:spacing w:line="360" w:lineRule="auto"/>
              <w:rPr>
                <w:color w:val="17365D" w:themeColor="text2" w:themeShade="BF"/>
              </w:rPr>
            </w:pPr>
          </w:p>
        </w:tc>
      </w:tr>
      <w:tr w:rsidR="00BC5E32" w:rsidRPr="00BC5E32" w14:paraId="313758A8" w14:textId="77777777" w:rsidTr="0042335B">
        <w:trPr>
          <w:trHeight w:val="80"/>
        </w:trPr>
        <w:tc>
          <w:tcPr>
            <w:tcW w:w="2303" w:type="dxa"/>
          </w:tcPr>
          <w:p w14:paraId="7D27B8E7" w14:textId="77777777" w:rsidR="0042335B" w:rsidRPr="00BC5E32" w:rsidRDefault="0042335B" w:rsidP="00BC5E32">
            <w:pPr>
              <w:spacing w:before="200" w:line="360" w:lineRule="auto"/>
              <w:contextualSpacing/>
              <w:jc w:val="both"/>
              <w:rPr>
                <w:rFonts w:ascii="Garamond" w:eastAsia="Times New Roman" w:hAnsi="Garamond"/>
                <w:bCs/>
                <w:color w:val="17365D" w:themeColor="text2" w:themeShade="BF"/>
              </w:rPr>
            </w:pPr>
            <w:r w:rsidRPr="00BC5E32">
              <w:rPr>
                <w:rFonts w:ascii="Garamond" w:eastAsia="Times New Roman" w:hAnsi="Garamond"/>
                <w:bCs/>
                <w:color w:val="17365D" w:themeColor="text2" w:themeShade="BF"/>
              </w:rPr>
              <w:t xml:space="preserve">Opis </w:t>
            </w:r>
          </w:p>
        </w:tc>
        <w:tc>
          <w:tcPr>
            <w:tcW w:w="2293" w:type="dxa"/>
          </w:tcPr>
          <w:p w14:paraId="77ED6EED" w14:textId="77777777" w:rsidR="0042335B" w:rsidRPr="00BC5E32" w:rsidRDefault="007F4853" w:rsidP="00BC5E32">
            <w:pPr>
              <w:spacing w:before="200" w:line="360" w:lineRule="auto"/>
              <w:contextualSpacing/>
              <w:jc w:val="both"/>
              <w:rPr>
                <w:rFonts w:ascii="Garamond" w:eastAsia="Times New Roman" w:hAnsi="Garamond"/>
                <w:bCs/>
                <w:color w:val="17365D" w:themeColor="text2" w:themeShade="BF"/>
              </w:rPr>
            </w:pPr>
            <w:r w:rsidRPr="00BC5E32">
              <w:rPr>
                <w:rFonts w:ascii="Garamond" w:eastAsia="Times New Roman" w:hAnsi="Garamond"/>
                <w:bCs/>
                <w:color w:val="17365D" w:themeColor="text2" w:themeShade="BF"/>
              </w:rPr>
              <w:t>Żółte, mleko i miód</w:t>
            </w:r>
          </w:p>
        </w:tc>
        <w:tc>
          <w:tcPr>
            <w:tcW w:w="4635" w:type="dxa"/>
            <w:vMerge/>
          </w:tcPr>
          <w:p w14:paraId="6AC5616C" w14:textId="77777777" w:rsidR="0042335B" w:rsidRPr="00BC5E32" w:rsidRDefault="0042335B" w:rsidP="00BC5E32">
            <w:pPr>
              <w:pStyle w:val="Akapitzlist"/>
              <w:spacing w:line="360" w:lineRule="auto"/>
              <w:rPr>
                <w:color w:val="17365D" w:themeColor="text2" w:themeShade="BF"/>
              </w:rPr>
            </w:pPr>
          </w:p>
        </w:tc>
      </w:tr>
      <w:tr w:rsidR="00BC5E32" w:rsidRPr="00BC5E32" w14:paraId="0EA31CED" w14:textId="77777777" w:rsidTr="0042335B">
        <w:trPr>
          <w:trHeight w:val="362"/>
        </w:trPr>
        <w:tc>
          <w:tcPr>
            <w:tcW w:w="2303" w:type="dxa"/>
          </w:tcPr>
          <w:p w14:paraId="3350F894" w14:textId="77777777" w:rsidR="0042335B" w:rsidRPr="00BC5E32" w:rsidRDefault="0042335B" w:rsidP="00BC5E32">
            <w:pPr>
              <w:spacing w:before="200" w:line="360" w:lineRule="auto"/>
              <w:contextualSpacing/>
              <w:jc w:val="both"/>
              <w:rPr>
                <w:rFonts w:ascii="Garamond" w:eastAsia="Times New Roman" w:hAnsi="Garamond"/>
                <w:bCs/>
                <w:color w:val="17365D" w:themeColor="text2" w:themeShade="BF"/>
              </w:rPr>
            </w:pPr>
            <w:r w:rsidRPr="00BC5E32">
              <w:rPr>
                <w:rFonts w:ascii="Garamond" w:eastAsia="Times New Roman" w:hAnsi="Garamond"/>
                <w:bCs/>
                <w:color w:val="17365D" w:themeColor="text2" w:themeShade="BF"/>
              </w:rPr>
              <w:t>Pojemność</w:t>
            </w:r>
          </w:p>
        </w:tc>
        <w:tc>
          <w:tcPr>
            <w:tcW w:w="2293" w:type="dxa"/>
          </w:tcPr>
          <w:p w14:paraId="445D0D8C" w14:textId="77777777" w:rsidR="0042335B" w:rsidRPr="00BC5E32" w:rsidRDefault="0042335B" w:rsidP="00BC5E32">
            <w:pPr>
              <w:spacing w:before="200" w:line="360" w:lineRule="auto"/>
              <w:contextualSpacing/>
              <w:jc w:val="both"/>
              <w:rPr>
                <w:rFonts w:ascii="Garamond" w:eastAsia="Times New Roman" w:hAnsi="Garamond"/>
                <w:bCs/>
                <w:color w:val="17365D" w:themeColor="text2" w:themeShade="BF"/>
              </w:rPr>
            </w:pPr>
            <w:r w:rsidRPr="00BC5E32">
              <w:rPr>
                <w:rFonts w:ascii="Garamond" w:eastAsia="Times New Roman" w:hAnsi="Garamond"/>
                <w:bCs/>
                <w:color w:val="17365D" w:themeColor="text2" w:themeShade="BF"/>
              </w:rPr>
              <w:t>5 L</w:t>
            </w:r>
          </w:p>
        </w:tc>
        <w:tc>
          <w:tcPr>
            <w:tcW w:w="4635" w:type="dxa"/>
            <w:vMerge/>
          </w:tcPr>
          <w:p w14:paraId="40DD8E26" w14:textId="77777777" w:rsidR="0042335B" w:rsidRPr="00BC5E32" w:rsidRDefault="0042335B" w:rsidP="00BC5E32">
            <w:pPr>
              <w:pStyle w:val="Akapitzlist"/>
              <w:spacing w:line="360" w:lineRule="auto"/>
              <w:rPr>
                <w:color w:val="17365D" w:themeColor="text2" w:themeShade="BF"/>
              </w:rPr>
            </w:pPr>
          </w:p>
        </w:tc>
      </w:tr>
      <w:tr w:rsidR="00BC5E32" w:rsidRPr="00BC5E32" w14:paraId="1397293C" w14:textId="77777777" w:rsidTr="0042335B">
        <w:trPr>
          <w:trHeight w:val="1544"/>
        </w:trPr>
        <w:tc>
          <w:tcPr>
            <w:tcW w:w="4596" w:type="dxa"/>
            <w:gridSpan w:val="2"/>
          </w:tcPr>
          <w:p w14:paraId="229970C3" w14:textId="77777777" w:rsidR="0042335B" w:rsidRPr="00BC5E32" w:rsidRDefault="0042335B" w:rsidP="00BC5E3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MyriadPro-Regular"/>
                <w:color w:val="17365D" w:themeColor="text2" w:themeShade="BF"/>
              </w:rPr>
            </w:pPr>
            <w:r w:rsidRPr="00BC5E32">
              <w:rPr>
                <w:rFonts w:ascii="Garamond" w:hAnsi="Garamond"/>
                <w:b/>
                <w:color w:val="17365D" w:themeColor="text2" w:themeShade="BF"/>
              </w:rPr>
              <w:t xml:space="preserve">Składniki: </w:t>
            </w:r>
            <w:r w:rsidRPr="00BC5E32">
              <w:rPr>
                <w:rFonts w:ascii="Garamond" w:eastAsia="Arial" w:hAnsi="Garamond" w:cs="Arial"/>
                <w:color w:val="17365D" w:themeColor="text2" w:themeShade="BF"/>
                <w:lang w:eastAsia="ar-SA"/>
              </w:rPr>
              <w:t xml:space="preserve">  </w:t>
            </w:r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</w:t>
            </w:r>
          </w:p>
          <w:p w14:paraId="7387B94F" w14:textId="77777777" w:rsidR="0042335B" w:rsidRPr="00BC5E32" w:rsidRDefault="007F4853" w:rsidP="00BC5E32">
            <w:pPr>
              <w:spacing w:line="360" w:lineRule="auto"/>
              <w:jc w:val="both"/>
              <w:rPr>
                <w:rFonts w:ascii="Garamond" w:hAnsi="Garamond"/>
                <w:color w:val="17365D" w:themeColor="text2" w:themeShade="BF"/>
              </w:rPr>
            </w:pP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Aqua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Sodium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Laureth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Sulfate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Cocamide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DEA,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Sodium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Chloride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Glycerin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PEG-75 Lanolin,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Styrene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>/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Acrylates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Copolymer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and Coco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Glucoside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Aloe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Barbadensis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Extract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Polyquaternium-7,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Methylchloroisothiazolinone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Metylisothiazolinone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Parfum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,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Hexyl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 xml:space="preserve"> </w:t>
            </w:r>
            <w:proofErr w:type="spellStart"/>
            <w:r w:rsidRPr="00BC5E32">
              <w:rPr>
                <w:rFonts w:ascii="Garamond" w:hAnsi="Garamond" w:cs="MyriadPro-Regular"/>
                <w:color w:val="17365D" w:themeColor="text2" w:themeShade="BF"/>
              </w:rPr>
              <w:t>Cinnamal</w:t>
            </w:r>
            <w:proofErr w:type="spellEnd"/>
            <w:r w:rsidRPr="00BC5E32">
              <w:rPr>
                <w:rFonts w:ascii="Garamond" w:hAnsi="Garamond" w:cs="MyriadPro-Regular"/>
                <w:color w:val="17365D" w:themeColor="text2" w:themeShade="BF"/>
              </w:rPr>
              <w:t>, CI 19140, CI 15510.</w:t>
            </w:r>
          </w:p>
        </w:tc>
        <w:tc>
          <w:tcPr>
            <w:tcW w:w="4635" w:type="dxa"/>
            <w:vMerge/>
          </w:tcPr>
          <w:p w14:paraId="38DD0F0D" w14:textId="77777777" w:rsidR="0042335B" w:rsidRPr="00BC5E32" w:rsidRDefault="0042335B" w:rsidP="00BC5E32">
            <w:pPr>
              <w:pStyle w:val="Akapitzlist"/>
              <w:spacing w:line="360" w:lineRule="auto"/>
              <w:rPr>
                <w:color w:val="17365D" w:themeColor="text2" w:themeShade="BF"/>
              </w:rPr>
            </w:pPr>
          </w:p>
        </w:tc>
      </w:tr>
      <w:tr w:rsidR="00BC5E32" w:rsidRPr="00BC5E32" w14:paraId="2EA49CFD" w14:textId="77777777" w:rsidTr="0042335B">
        <w:trPr>
          <w:trHeight w:val="852"/>
        </w:trPr>
        <w:tc>
          <w:tcPr>
            <w:tcW w:w="9231" w:type="dxa"/>
            <w:gridSpan w:val="3"/>
          </w:tcPr>
          <w:p w14:paraId="2915AF86" w14:textId="77777777" w:rsidR="0042335B" w:rsidRPr="00BC5E32" w:rsidRDefault="0042335B" w:rsidP="00BC5E32">
            <w:pPr>
              <w:spacing w:after="200" w:line="360" w:lineRule="auto"/>
              <w:rPr>
                <w:rFonts w:ascii="Garamond" w:hAnsi="Garamond"/>
                <w:b/>
                <w:color w:val="17365D" w:themeColor="text2" w:themeShade="BF"/>
                <w:u w:val="single"/>
              </w:rPr>
            </w:pPr>
            <w:r w:rsidRPr="00BC5E32">
              <w:rPr>
                <w:rFonts w:ascii="Garamond" w:hAnsi="Garamond"/>
                <w:b/>
                <w:color w:val="17365D" w:themeColor="text2" w:themeShade="BF"/>
                <w:u w:val="single"/>
              </w:rPr>
              <w:t>Sposób użycia:</w:t>
            </w:r>
          </w:p>
          <w:p w14:paraId="3FFB8185" w14:textId="77777777" w:rsidR="0042335B" w:rsidRPr="00BC5E32" w:rsidRDefault="0042335B" w:rsidP="00BC5E32">
            <w:pPr>
              <w:spacing w:line="360" w:lineRule="auto"/>
              <w:jc w:val="both"/>
              <w:rPr>
                <w:rFonts w:ascii="Calibri" w:eastAsia="Calibri" w:hAnsi="Calibri" w:cs="Times New Roman"/>
                <w:color w:val="17365D" w:themeColor="text2" w:themeShade="BF"/>
              </w:rPr>
            </w:pPr>
            <w:r w:rsidRPr="00BC5E32">
              <w:rPr>
                <w:rFonts w:ascii="Garamond" w:hAnsi="Garamond"/>
                <w:color w:val="17365D" w:themeColor="text2" w:themeShade="BF"/>
              </w:rPr>
              <w:t xml:space="preserve">Na </w:t>
            </w:r>
            <w:r w:rsidRPr="00BC5E32">
              <w:rPr>
                <w:color w:val="17365D" w:themeColor="text2" w:themeShade="BF"/>
              </w:rPr>
              <w:t xml:space="preserve"> </w:t>
            </w:r>
            <w:r w:rsidRPr="00BC5E32">
              <w:rPr>
                <w:rFonts w:ascii="Garamond" w:hAnsi="Garamond"/>
                <w:color w:val="17365D" w:themeColor="text2" w:themeShade="BF"/>
              </w:rPr>
              <w:t>wilgotną dłoń lub gąbkę nanieść niewielką ilość mydła i rozprowadzić po powierzchni zwilżonego ciała. Po umyciu spłukać wodą.</w:t>
            </w:r>
          </w:p>
        </w:tc>
      </w:tr>
    </w:tbl>
    <w:p w14:paraId="7C276F4C" w14:textId="77777777" w:rsidR="00B26A4B" w:rsidRPr="00322844" w:rsidRDefault="00B26A4B" w:rsidP="00B26A4B">
      <w:pPr>
        <w:rPr>
          <w:color w:val="17365D" w:themeColor="text2" w:themeShade="BF"/>
          <w:sz w:val="18"/>
          <w:szCs w:val="18"/>
        </w:rPr>
      </w:pPr>
    </w:p>
    <w:p w14:paraId="0FE5AB33" w14:textId="77777777" w:rsidR="00B26A4B" w:rsidRDefault="00B26A4B" w:rsidP="00B26A4B">
      <w:pPr>
        <w:jc w:val="center"/>
        <w:rPr>
          <w:rFonts w:ascii="Garamond" w:hAnsi="Garamond"/>
          <w:color w:val="17365D" w:themeColor="text2" w:themeShade="BF"/>
          <w:sz w:val="18"/>
          <w:szCs w:val="18"/>
        </w:rPr>
      </w:pPr>
      <w:r w:rsidRPr="00ED60EC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44D9" wp14:editId="18E32B07">
                <wp:simplePos x="0" y="0"/>
                <wp:positionH relativeFrom="margin">
                  <wp:posOffset>119269</wp:posOffset>
                </wp:positionH>
                <wp:positionV relativeFrom="paragraph">
                  <wp:posOffset>80424</wp:posOffset>
                </wp:positionV>
                <wp:extent cx="576262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A1B7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pt,6.35pt" to="463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" strokecolor="#4a7ebb">
                <w10:wrap anchorx="margin"/>
              </v:line>
            </w:pict>
          </mc:Fallback>
        </mc:AlternateContent>
      </w:r>
    </w:p>
    <w:p w14:paraId="78E58F47" w14:textId="77777777" w:rsidR="00B26A4B" w:rsidRPr="0021553B" w:rsidRDefault="00B26A4B" w:rsidP="00B26A4B">
      <w:pPr>
        <w:jc w:val="center"/>
        <w:rPr>
          <w:rFonts w:ascii="Garamond" w:hAnsi="Garamond"/>
          <w:color w:val="17365D" w:themeColor="text2" w:themeShade="BF"/>
        </w:rPr>
      </w:pPr>
      <w:r w:rsidRPr="0021553B">
        <w:rPr>
          <w:rFonts w:ascii="Garamond" w:hAnsi="Garamond"/>
          <w:color w:val="17365D" w:themeColor="text2" w:themeShade="BF"/>
          <w:sz w:val="18"/>
          <w:szCs w:val="18"/>
        </w:rPr>
        <w:t>Informacje zawarte w niniejszej karcie technicznej podane są w dobrej wierze, w oparciu o aktualną wiedzę, doświadczenie wyniki badań. Zgodność parametrów dostarczonego wyrobu z niniejszą karta techniczną oraz przydatność wyrobu do zamierzonego zastosowania powinny być sprawdzone przed jego użyciem. Zastrzega się prawo wprowadzenie zmian do niniejszej karty technicznej będących</w:t>
      </w:r>
      <w:r>
        <w:rPr>
          <w:rFonts w:ascii="Garamond" w:hAnsi="Garamond"/>
          <w:color w:val="17365D" w:themeColor="text2" w:themeShade="BF"/>
          <w:sz w:val="18"/>
          <w:szCs w:val="18"/>
        </w:rPr>
        <w:t xml:space="preserve"> </w:t>
      </w:r>
      <w:r w:rsidRPr="0021553B">
        <w:rPr>
          <w:rFonts w:ascii="Garamond" w:hAnsi="Garamond"/>
          <w:color w:val="17365D" w:themeColor="text2" w:themeShade="BF"/>
          <w:sz w:val="18"/>
          <w:szCs w:val="18"/>
        </w:rPr>
        <w:t>skutkiem postępu.</w:t>
      </w:r>
    </w:p>
    <w:p w14:paraId="19B68923" w14:textId="77777777" w:rsidR="00BE44FD" w:rsidRPr="00B26A4B" w:rsidRDefault="00BE44FD" w:rsidP="00B26A4B"/>
    <w:sectPr w:rsidR="00BE44FD" w:rsidRPr="00B26A4B" w:rsidSect="00015ED9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31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FECE" w14:textId="77777777" w:rsidR="00D220A0" w:rsidRDefault="00D220A0" w:rsidP="00967B4D">
      <w:r>
        <w:separator/>
      </w:r>
    </w:p>
  </w:endnote>
  <w:endnote w:type="continuationSeparator" w:id="0">
    <w:p w14:paraId="2740B8D3" w14:textId="77777777" w:rsidR="00D220A0" w:rsidRDefault="00D220A0" w:rsidP="0096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E6F" w14:textId="77777777" w:rsidR="0042335B" w:rsidRDefault="0042335B" w:rsidP="00C605B4">
    <w:pPr>
      <w:pStyle w:val="Stopka"/>
    </w:pPr>
  </w:p>
  <w:p w14:paraId="321D0067" w14:textId="77777777" w:rsidR="00C605B4" w:rsidRPr="00C605B4" w:rsidRDefault="009F1D8C" w:rsidP="00C605B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6B75A2" wp14:editId="5E8C952D">
              <wp:simplePos x="0" y="0"/>
              <wp:positionH relativeFrom="margin">
                <wp:align>left</wp:align>
              </wp:positionH>
              <wp:positionV relativeFrom="paragraph">
                <wp:posOffset>-79513</wp:posOffset>
              </wp:positionV>
              <wp:extent cx="3283585" cy="532130"/>
              <wp:effectExtent l="0" t="0" r="12065" b="203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585" cy="5327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F1A1C" w14:textId="77777777" w:rsidR="009F1D8C" w:rsidRDefault="009F1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B75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.25pt;width:258.55pt;height:41.9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" strokecolor="white [3212]">
              <v:textbox>
                <w:txbxContent>
                  <w:p w14:paraId="0DBF1A1C" w14:textId="77777777" w:rsidR="009F1D8C" w:rsidRDefault="009F1D8C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6E9B" w14:textId="77777777" w:rsidR="00D220A0" w:rsidRDefault="00D220A0" w:rsidP="00967B4D">
      <w:r>
        <w:separator/>
      </w:r>
    </w:p>
  </w:footnote>
  <w:footnote w:type="continuationSeparator" w:id="0">
    <w:p w14:paraId="1E6C2692" w14:textId="77777777" w:rsidR="00D220A0" w:rsidRDefault="00D220A0" w:rsidP="0096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FCF4" w14:textId="77777777" w:rsidR="00820E5F" w:rsidRDefault="00000000">
    <w:pPr>
      <w:pStyle w:val="Nagwek"/>
    </w:pPr>
    <w:r>
      <w:rPr>
        <w:noProof/>
      </w:rPr>
      <w:pict w14:anchorId="0270A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095688" o:spid="_x0000_s1032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p_pcc-cp-kosmet_RGB_201606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94EF" w14:textId="77777777" w:rsidR="0042335B" w:rsidRDefault="0042335B">
    <w:pPr>
      <w:pStyle w:val="Nagwek"/>
    </w:pPr>
    <w:r>
      <w:rPr>
        <w:noProof/>
      </w:rPr>
      <w:drawing>
        <wp:inline distT="0" distB="0" distL="0" distR="0" wp14:anchorId="36A44B91" wp14:editId="57F3C222">
          <wp:extent cx="5871210" cy="13531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4913" w14:textId="77777777" w:rsidR="00820E5F" w:rsidRDefault="00000000">
    <w:pPr>
      <w:pStyle w:val="Nagwek"/>
    </w:pPr>
    <w:r>
      <w:rPr>
        <w:noProof/>
      </w:rPr>
      <w:pict w14:anchorId="5243C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095687" o:spid="_x0000_s103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bp_pcc-cp-kosmet_RGB_201606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163C"/>
    <w:multiLevelType w:val="hybridMultilevel"/>
    <w:tmpl w:val="5C0CA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75B18"/>
    <w:multiLevelType w:val="hybridMultilevel"/>
    <w:tmpl w:val="EFF4152E"/>
    <w:lvl w:ilvl="0" w:tplc="0AD63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597695">
    <w:abstractNumId w:val="0"/>
  </w:num>
  <w:num w:numId="2" w16cid:durableId="123682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21"/>
    <w:rsid w:val="00015ED9"/>
    <w:rsid w:val="00101B50"/>
    <w:rsid w:val="001754A3"/>
    <w:rsid w:val="001E3B8E"/>
    <w:rsid w:val="002147B0"/>
    <w:rsid w:val="0042335B"/>
    <w:rsid w:val="00434009"/>
    <w:rsid w:val="00510CC2"/>
    <w:rsid w:val="0051340B"/>
    <w:rsid w:val="00534821"/>
    <w:rsid w:val="0055491E"/>
    <w:rsid w:val="00573B43"/>
    <w:rsid w:val="007F4853"/>
    <w:rsid w:val="00820E5F"/>
    <w:rsid w:val="008B44D9"/>
    <w:rsid w:val="00905A10"/>
    <w:rsid w:val="00967B4D"/>
    <w:rsid w:val="009F1D8C"/>
    <w:rsid w:val="00B26A4B"/>
    <w:rsid w:val="00BC5E32"/>
    <w:rsid w:val="00BE44FD"/>
    <w:rsid w:val="00C176A9"/>
    <w:rsid w:val="00C605B4"/>
    <w:rsid w:val="00C97043"/>
    <w:rsid w:val="00D022E3"/>
    <w:rsid w:val="00D220A0"/>
    <w:rsid w:val="00E60D5B"/>
    <w:rsid w:val="00F91B98"/>
    <w:rsid w:val="00FA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5A48BC"/>
  <w14:defaultImageDpi w14:val="300"/>
  <w15:docId w15:val="{0E0EC925-0E2A-4654-BA1A-037F28E2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2E3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B4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B4D"/>
    <w:rPr>
      <w:rFonts w:ascii="Lucida Grande CE" w:hAnsi="Lucida Grande C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67B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B4D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67B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B4D"/>
    <w:rPr>
      <w:lang w:val="pl-PL"/>
    </w:rPr>
  </w:style>
  <w:style w:type="table" w:styleId="Tabela-Siatka">
    <w:name w:val="Table Grid"/>
    <w:basedOn w:val="Standardowy"/>
    <w:uiPriority w:val="59"/>
    <w:rsid w:val="00B26A4B"/>
    <w:rPr>
      <w:rFonts w:eastAsiaTheme="minorHAns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6A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DE67D-5D29-4A55-B048-B8445ACB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PCC Consumer Products Kosmet Sp. z o.o.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Czochra</dc:creator>
  <cp:keywords/>
  <dc:description/>
  <cp:lastModifiedBy>Katarzyna Małyszka</cp:lastModifiedBy>
  <cp:revision>2</cp:revision>
  <cp:lastPrinted>2016-09-19T10:56:00Z</cp:lastPrinted>
  <dcterms:created xsi:type="dcterms:W3CDTF">2023-02-21T17:07:00Z</dcterms:created>
  <dcterms:modified xsi:type="dcterms:W3CDTF">2023-02-21T17:07:00Z</dcterms:modified>
</cp:coreProperties>
</file>